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0E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经济管理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学院2025年工作总结</w:t>
      </w:r>
    </w:p>
    <w:bookmarkEnd w:id="0"/>
    <w:p w14:paraId="7DD8CC1D">
      <w:pPr>
        <w:pStyle w:val="2"/>
        <w:rPr>
          <w:rFonts w:hint="eastAsia"/>
          <w:lang w:val="en-US" w:eastAsia="zh-CN"/>
        </w:rPr>
      </w:pPr>
    </w:p>
    <w:p w14:paraId="7D2E4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ab/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2025年，经济管理学院坚持以习近平新时代中国特色社会主义思想为指导，深入贯彻落实党的二十大及二十届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中央全会精神，紧紧围绕教育强国、科技强国、人才强国建设战略部署，全面落实立德树人根本任务，扎实推进“兴湖州”行动计划。学院围绕“立德树人”根本任务，以学科建设为龙头，以人才培养为核心，在党建思政、教学科研、服务地方等方面取得显著成效。现将一年来的工作总结如下：</w:t>
      </w:r>
    </w:p>
    <w:p w14:paraId="0C56401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Chars="0" w:firstLine="643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始终坚持把党的政治建设摆在首位</w:t>
      </w:r>
    </w:p>
    <w:p w14:paraId="5525A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扎实开展政治理论学习。坚持把落实中央八项规定精神学习教育作为重大政治任务，系统部署学院学习教育工作。开展“寻访运河廉洁人物，践行八项规定精神”主题党日活动，组织教职工到杭州京杭大运河博物馆、何思敬纪念馆进行实地学习；各党支部紧扣“第一议题”制度，依托“三会一课”、主题党日等载体，累计开展集中学习和交流研讨20余次。学院党委理论学习中心组组织集中学习10次，第一议题学习展开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次，党纪教育一刻钟开展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次。组织学生党员发展对象前往钱壮飞纪念馆、郎部抗日纪念馆开展现场学习。</w:t>
      </w:r>
    </w:p>
    <w:p w14:paraId="19ED0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规范做好党员发展工作。学生党员新发展26名，教师党员新发展3名，预备党员转正16名，确立入党积极分子72名，新增学生入党申请人130名。成功举办第四期入党积极分子培训班，66名学员顺利结业。</w:t>
      </w:r>
    </w:p>
    <w:p w14:paraId="1445F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规范基层党支部管理。完成5个下设党支部的换届选举工作，选拔党性强、业务精、有威信、肯奉献的党员担任党支部书记。</w:t>
      </w:r>
    </w:p>
    <w:p w14:paraId="3E066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3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二）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师资队伍建设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展现新活力</w:t>
      </w:r>
    </w:p>
    <w:p w14:paraId="4DABD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人才引进工作</w:t>
      </w:r>
    </w:p>
    <w:p w14:paraId="061B5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年共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开展应聘面试3场，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面试24人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，提交学校上会8人。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入职报到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青年博士2人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eastAsia="zh-CN"/>
        </w:rPr>
        <w:t>柔性引进人才上会通过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2人。</w:t>
      </w:r>
    </w:p>
    <w:p w14:paraId="76F60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教师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培养</w:t>
      </w:r>
    </w:p>
    <w:p w14:paraId="13979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学院组织各种专题讲座、研讨会，教师参与40余次不同主题培训，提升综合能力。</w:t>
      </w:r>
    </w:p>
    <w:p w14:paraId="641EF18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教师发展体系持续完善，选派4名教师外出挂职，2名教师外出读博。师资管理机制不断创新，将教学质量、科研成果、社会服务、公共事务服务等纳入考核指标。</w:t>
      </w:r>
    </w:p>
    <w:p w14:paraId="78741CD3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Chars="0" w:firstLine="643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（三）教学建设深化推进，模式创新升级</w:t>
      </w:r>
    </w:p>
    <w:p w14:paraId="00B42F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教学建设成果</w:t>
      </w:r>
    </w:p>
    <w:p w14:paraId="5D36F6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2025年度经济管理学院校级教育教学改革研究项目立项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项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其中校级一般项目确认立项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项。</w:t>
      </w:r>
    </w:p>
    <w:p w14:paraId="6B1907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2.学科竞赛成果</w:t>
      </w:r>
    </w:p>
    <w:p w14:paraId="7396FB3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截至2025年12月，我院师生在国家级赛事中斩获国家级奖项57个，获一等奖10项。其中，在全国大学生物流设计大赛获得国家级二等奖（省一），工行杯全国大学生金融科技创新大赛获得国家级三等奖（省一），为历史最好成绩。</w:t>
      </w:r>
    </w:p>
    <w:p w14:paraId="24D3EC3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在省级赛事方面，共获得21项省级奖项。其中浙江省大学生经济管理案例竞赛获得省级银奖，浙江省大学生乡村振兴创意大赛获得2项省级银奖。此外，在“农行杯”浙江省国际大学生创新大赛中获省级金奖，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取得历史性突破。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浙江省第十九届“挑战杯”大学生课外学术科技作品竞赛（红色专项赛）获2项省级铜奖，同样取得赛事历史最佳成绩。</w:t>
      </w:r>
    </w:p>
    <w:p w14:paraId="1F2D1F6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3.优秀基层教学组织建设</w:t>
      </w:r>
    </w:p>
    <w:p w14:paraId="05CB7D8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2025年校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级优秀基层教学组织评选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中我院供应链管理教研室被选定为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校级优秀基层教学组织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2025年度我院教师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团队在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第五届教学创新大赛中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校级奖项2项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在2025年青年教师竞赛获得文科组校级三等奖3项。</w:t>
      </w:r>
    </w:p>
    <w:p w14:paraId="66A2F1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为顺应学科发展趋势、专业建设和人才培养需要，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学院成立“数据科学与人工智能课程组”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并发布了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《湖州学院经济管理学院（绿色金融学院）成立数据科学与人工智能课程组的工作方案》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开发高质量的数据科学与人工智能课程体系，提升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独立进行数据科学与人工智能相关项目的处理能力。</w:t>
      </w:r>
    </w:p>
    <w:p w14:paraId="07860F3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4.产学研实践教学成果</w:t>
      </w:r>
    </w:p>
    <w:p w14:paraId="6F9D09A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2025年度经济管理学院大学生创新创业训练计划项目国家级2项，省级3项，2024-2025学年统计共有22个实践基地，2025年新增2个实践基地。</w:t>
      </w:r>
    </w:p>
    <w:p w14:paraId="6E7A167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5.应用性特色建设</w:t>
      </w:r>
    </w:p>
    <w:p w14:paraId="3DEE40B6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学院深化产教融合，创新构建了“微专业+产业学院”双轮驱动的人才培养新模式。“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SPD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智慧供应链”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“AI+跨境电商”微专业首届学员实现高质量就业，与顺丰集团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的校企合作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进入实质建设阶段，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并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打造低空智慧物流示范线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同时，“学科竞赛+企业实战”融合机制成效凸显，孵化A类竞赛奖项十余项，真正实现了课程链、人才链与产业链的紧密对接。</w:t>
      </w:r>
    </w:p>
    <w:p w14:paraId="70D5794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（四）科研成绩有重大突破</w:t>
      </w:r>
    </w:p>
    <w:p w14:paraId="3D169E7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1.学科专业建设</w:t>
      </w:r>
    </w:p>
    <w:p w14:paraId="7EB65FFB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Times New Roman" w:eastAsia="仿宋_GB2312" w:cs="仿宋_GB2312"/>
          <w:b w:val="0"/>
          <w:kern w:val="2"/>
          <w:sz w:val="32"/>
          <w:szCs w:val="32"/>
          <w:lang w:val="en-US" w:eastAsia="zh-CN" w:bidi="ar"/>
        </w:rPr>
        <w:t>目前，学院正积极推进金融科技专业的申报工作，已进入校内评审与材料完善阶段，旨在培养适应数字经济发展的复合型人</w:t>
      </w:r>
      <w:r>
        <w:rPr>
          <w:rFonts w:hint="default" w:ascii="仿宋_GB2312" w:hAnsi="Times New Roman" w:eastAsia="仿宋_GB2312" w:cs="仿宋_GB2312"/>
          <w:b w:val="0"/>
          <w:kern w:val="2"/>
          <w:sz w:val="32"/>
          <w:szCs w:val="32"/>
          <w:highlight w:val="none"/>
          <w:lang w:val="en-US" w:eastAsia="zh-CN" w:bidi="ar"/>
        </w:rPr>
        <w:t>才。</w:t>
      </w:r>
    </w:p>
    <w:p w14:paraId="527E76B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2.科研成果</w:t>
      </w:r>
    </w:p>
    <w:p w14:paraId="172F362B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主持纵向课题立项22项，其中国家级项目4项，省部级项目4项，市厅级项目11项。获市厅级副职批示8篇。第一作者发表论文42篇，其中SCI收录论文7篇，SSCI收录论文3篇，SCD收录论文8篇，EI收录论文2篇，一级期刊论文1篇，核心论文4篇，在《中国教育报》等报刊发表论文十余篇，论文发表质量持续提升。出版权威出版社著作3本。</w:t>
      </w:r>
    </w:p>
    <w:p w14:paraId="0160B95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3.服务地方成果</w:t>
      </w:r>
    </w:p>
    <w:p w14:paraId="7C11A9C3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截止2025年12月，我院服务地方团队数量达到6个，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已建设产学研基地、各类校外实践基地等共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个，其中202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年新增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我院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与浙商银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eastAsia="zh-CN"/>
        </w:rPr>
        <w:t>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湖州分行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共建的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</w:rPr>
        <w:t>转型金融研究院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已经在新校区落地并初步完成建设，相关成果获得了市领导肯定批示，与浙江绿橙视界文化传媒有限公司在新校区共建了直播实验室。</w:t>
      </w:r>
    </w:p>
    <w:p w14:paraId="17B1DCC7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在服务地方成果方面，学院平台能级与科研服务贡献度持续提升。联合市商务局成功共建“湖州市跨境电商研究院”，科研平台建设取得突破；全年承接横向课题多项，累计合同金额超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50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万元，获副厅级以上领导批示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篇，多项研究成果转化为政策建议；校企合作深度拓展，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助推文化特派员项目，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color="auto" w:fill="FFFFFF"/>
          <w:lang w:val="en-US" w:eastAsia="zh-CN"/>
        </w:rPr>
        <w:t>与市文旅集团、新闻传媒中心等合力推广湖州文化，持续为湖州“4210”现代产业体系发展注入人才动能与创新活力。</w:t>
      </w:r>
    </w:p>
    <w:p w14:paraId="242B16E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3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（五）坚持立德树人，保障学生工作顺利开展</w:t>
      </w:r>
    </w:p>
    <w:p w14:paraId="5BA131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深化思政教育体系</w:t>
      </w:r>
    </w:p>
    <w:p w14:paraId="4E5DC2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全年开展“导师有约”系列活动</w:t>
      </w:r>
      <w:r>
        <w:rPr>
          <w:rFonts w:hint="default" w:ascii="仿宋_GB2312" w:hAnsi="仿宋_GB2312" w:eastAsia="仿宋_GB2312" w:cs="仿宋_GB2312"/>
          <w:sz w:val="32"/>
          <w:szCs w:val="40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</w:rPr>
        <w:t xml:space="preserve">期，邀请学院博士、副高及以上教师围绕沟通技巧、问卷设计、AI赋能大学生活等主题，为学生提供课堂外的思想引领与成长指导，累计参与学生人次超 </w:t>
      </w:r>
      <w:r>
        <w:rPr>
          <w:rFonts w:hint="default" w:ascii="仿宋_GB2312" w:hAnsi="仿宋_GB2312" w:eastAsia="仿宋_GB2312" w:cs="仿宋_GB2312"/>
          <w:sz w:val="32"/>
          <w:szCs w:val="40"/>
        </w:rPr>
        <w:t>800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人</w:t>
      </w:r>
      <w:r>
        <w:rPr>
          <w:rFonts w:hint="default" w:ascii="仿宋_GB2312" w:hAnsi="仿宋_GB2312" w:eastAsia="仿宋_GB2312" w:cs="仿宋_GB2312"/>
          <w:sz w:val="32"/>
          <w:szCs w:val="40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40"/>
        </w:rPr>
        <w:t>。结合重要节点开展特色活动，举办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40"/>
        </w:rPr>
        <w:t>清明祭英烈”“红色金融史中的廉洁故事微党课大赛”“‘声扬正气・语振廉音’廉洁主题演讲比赛”等，官微“清风经管”专栏推出廉洁人物故事、廉洁书目推荐等系列内容，厚植学生爱国主义情怀与廉洁自律意识。</w:t>
      </w:r>
    </w:p>
    <w:p w14:paraId="4B55ED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搭建学业提升平台</w:t>
      </w:r>
    </w:p>
    <w:p w14:paraId="7AEF0DD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举办“青春榜样说”宣讲活动10期，邀请学业优秀、考研成功、竞赛获奖的学生走进班级、新生群体，分享学业规划、实践经历。举办考研规划讲座、复试指导、院校调剂咨询等活动，2025届毕业生考研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上岸38人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</w:rPr>
        <w:t>录取院校层次显著提升</w:t>
      </w:r>
      <w:r>
        <w:rPr>
          <w:rFonts w:hint="eastAsia" w:ascii="仿宋_GB2312" w:hAnsi="仿宋_GB2312" w:eastAsia="仿宋_GB2312" w:cs="仿宋_GB2312"/>
          <w:sz w:val="32"/>
          <w:szCs w:val="40"/>
        </w:rPr>
        <w:t>。围绕“一专业一竞赛”，开展学科竞赛与创新创业培育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</w:rPr>
        <w:t>竞赛成绩持续提升。</w:t>
      </w:r>
    </w:p>
    <w:p w14:paraId="5B8EB8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做实心理健康教育</w:t>
      </w:r>
    </w:p>
    <w:p w14:paraId="0062B74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依托“经心有你”二级心理辅导站，构建心理健康中心、心理委员、寝室心理互助员三级防护网络。全年开展新生心理测评、心理团辅、心理委员培训等活动30余次，举办“525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心理健康月”“情绪彩虹 圈住幸福”“落叶成书”等特色活动。建立特殊学生“一生一档”，对复学学生、情绪异常学生等重点群体开展一对一谈心谈话，及时介入并妥善处理学生心理危机事件2起。</w:t>
      </w:r>
    </w:p>
    <w:p w14:paraId="4629D1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精准推进就业工作</w:t>
      </w:r>
    </w:p>
    <w:p w14:paraId="2804677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学院领导带头访企拓岗，与浙江妮素网络科技股份有限公司、嘉兴银行湖州分行等多家企业建立合作关系，共建大学生就业基地与实践基地。举办“经风雨见彩虹”系列宣讲会、招聘会4场，邀请5家企业进校园，推送就业岗位信息200余条。开展就业指导系列活动，举办职场礼仪、简历制作、面试技巧等讲座，为毕业生提供“一生一策”就业帮扶，重点关注家庭经济困难毕业生就业情况，推荐就业岗位。截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40"/>
        </w:rPr>
        <w:t>2025年12月，2025届毕业生就业率达97%以上，留湖率保持稳定。</w:t>
      </w:r>
    </w:p>
    <w:p w14:paraId="29103E5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Style w:val="12"/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Style w:val="12"/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（六）勠力同心，各项保障工作持续强化</w:t>
      </w:r>
    </w:p>
    <w:p w14:paraId="4B1DF3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充分发挥全体教职工主人翁作用，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凝心聚力，为学院高质量发展努力构筑同心圆。不断加强学院各项制度建设，完善学院内部组织结构。认真做好安全隐患排查工作，加强“平安校园”建设，守住校园安全底线。</w:t>
      </w:r>
    </w:p>
    <w:p w14:paraId="597419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统筹兼顾做好学院的分工会工作、后勤工作、财务工作及国有资产管理等。学院暑期顺利完成新校区搬迁工作，实现“资产零遗失”，并对新大楼、新宿舍的设备多次调试，保证师生的生活工作正常运行。</w:t>
      </w:r>
    </w:p>
    <w:p w14:paraId="10EC454E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9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D6A95"/>
    <w:rsid w:val="00855431"/>
    <w:rsid w:val="042B5BED"/>
    <w:rsid w:val="04AA6973"/>
    <w:rsid w:val="06D97CC8"/>
    <w:rsid w:val="09EB7118"/>
    <w:rsid w:val="0BFE1D70"/>
    <w:rsid w:val="0D7C295E"/>
    <w:rsid w:val="1465245E"/>
    <w:rsid w:val="170D4D38"/>
    <w:rsid w:val="17960D10"/>
    <w:rsid w:val="1E6A296B"/>
    <w:rsid w:val="1F180BEB"/>
    <w:rsid w:val="20383EC4"/>
    <w:rsid w:val="23BE6928"/>
    <w:rsid w:val="279C72BD"/>
    <w:rsid w:val="288564D2"/>
    <w:rsid w:val="28A41CE6"/>
    <w:rsid w:val="28AD6A95"/>
    <w:rsid w:val="2D0044D9"/>
    <w:rsid w:val="3805171C"/>
    <w:rsid w:val="38543D9E"/>
    <w:rsid w:val="391A342D"/>
    <w:rsid w:val="39904140"/>
    <w:rsid w:val="3C6739FE"/>
    <w:rsid w:val="40F921A1"/>
    <w:rsid w:val="41C15ECA"/>
    <w:rsid w:val="44613FE0"/>
    <w:rsid w:val="45613E63"/>
    <w:rsid w:val="47210053"/>
    <w:rsid w:val="4B7B2777"/>
    <w:rsid w:val="4CC46CA3"/>
    <w:rsid w:val="4F4E520A"/>
    <w:rsid w:val="4FFF707D"/>
    <w:rsid w:val="51350C78"/>
    <w:rsid w:val="51E3218E"/>
    <w:rsid w:val="52264044"/>
    <w:rsid w:val="52FB2C17"/>
    <w:rsid w:val="549977F7"/>
    <w:rsid w:val="5A481937"/>
    <w:rsid w:val="5C2F4261"/>
    <w:rsid w:val="5D834AFA"/>
    <w:rsid w:val="6139216B"/>
    <w:rsid w:val="65A161A6"/>
    <w:rsid w:val="66A50B0F"/>
    <w:rsid w:val="68EA1EA1"/>
    <w:rsid w:val="6A27772E"/>
    <w:rsid w:val="6CA469B8"/>
    <w:rsid w:val="72D13BC2"/>
    <w:rsid w:val="733766AB"/>
    <w:rsid w:val="73B64F74"/>
    <w:rsid w:val="75CB632F"/>
    <w:rsid w:val="772F0667"/>
    <w:rsid w:val="787B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6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basedOn w:val="3"/>
    <w:next w:val="4"/>
    <w:qFormat/>
    <w:uiPriority w:val="0"/>
    <w:pPr>
      <w:spacing w:after="0"/>
      <w:ind w:firstLine="420" w:firstLineChars="100"/>
      <w:jc w:val="center"/>
    </w:pPr>
    <w:rPr>
      <w:rFonts w:ascii="Times New Roman" w:hAnsi="Times New Roman" w:eastAsia="宋体" w:cs="Times New Roman"/>
      <w:szCs w:val="24"/>
    </w:r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customStyle="1" w:styleId="4">
    <w:name w:val="Char Char Char"/>
    <w:basedOn w:val="1"/>
    <w:qFormat/>
    <w:uiPriority w:val="0"/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"/>
    <w:qFormat/>
    <w:uiPriority w:val="99"/>
    <w:pPr>
      <w:spacing w:after="160" w:line="240" w:lineRule="exact"/>
    </w:pPr>
    <w:rPr>
      <w:rFonts w:ascii="Verdana" w:hAnsi="Verdana" w:eastAsia="仿宋_GB2312" w:cs="Verdana"/>
      <w:sz w:val="24"/>
      <w:szCs w:val="24"/>
      <w:lang w:val="en-US" w:eastAsia="en-US" w:bidi="ar-SA"/>
    </w:rPr>
  </w:style>
  <w:style w:type="character" w:customStyle="1" w:styleId="12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3079</Words>
  <Characters>3198</Characters>
  <Lines>1</Lines>
  <Paragraphs>1</Paragraphs>
  <TotalTime>14</TotalTime>
  <ScaleCrop>false</ScaleCrop>
  <LinksUpToDate>false</LinksUpToDate>
  <CharactersWithSpaces>3209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2024-06-27T08:18:00Z</dcterms:created>
  <dc:creator>JGXY</dc:creator>
  <cp:lastModifiedBy>流年</cp:lastModifiedBy>
  <cp:lastPrinted>2025-12-09T00:57:00Z</cp:lastPrinted>
  <dcterms:modified xsi:type="dcterms:W3CDTF">2025-12-15T01:27:54Z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eyJoZGlkIjoiMDYwY2Y2YjA5MTBiYzgzNDAxMzhjNTdmNzlkMDlkZDciLCJ1c2VySWQiOiI0MDQwMDM5OTUifQ==</vt:lpwstr>
  </property>
  <property fmtid="{D5CDD505-2E9C-101B-9397-08002B2CF9AE}" pid="4" name="ICV">
    <vt:lpwstr>73CFB2C3F7C14522AA6569C54F5A8732_12</vt:lpwstr>
  </property>
</Properties>
</file>