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FFC7DA">
      <w:pPr>
        <w:pStyle w:val="2"/>
        <w:spacing w:beforeAutospacing="0" w:afterAutospacing="0" w:line="560" w:lineRule="exact"/>
        <w:jc w:val="center"/>
        <w:rPr>
          <w:rFonts w:hint="default" w:ascii="方正小标宋简体" w:hAnsi="方正小标宋简体" w:eastAsia="方正小标宋简体" w:cs="方正小标宋简体"/>
          <w:b w:val="0"/>
          <w:bCs w:val="0"/>
          <w:sz w:val="44"/>
          <w:szCs w:val="44"/>
        </w:rPr>
      </w:pPr>
      <w:r>
        <w:rPr>
          <w:rFonts w:ascii="方正小标宋简体" w:hAnsi="方正小标宋简体" w:eastAsia="方正小标宋简体" w:cs="方正小标宋简体"/>
          <w:b w:val="0"/>
          <w:bCs w:val="0"/>
          <w:sz w:val="44"/>
          <w:szCs w:val="44"/>
        </w:rPr>
        <w:t>人文学院2025年度工作总结</w:t>
      </w:r>
    </w:p>
    <w:p w14:paraId="647C1842">
      <w:pPr>
        <w:spacing w:line="560" w:lineRule="exact"/>
      </w:pPr>
    </w:p>
    <w:p w14:paraId="4FC4FCC1">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lang w:bidi="ar"/>
        </w:rPr>
        <w:t>在学校党委的全面领导下，人文学院紧扣“质量提升年”工作主线，围绕高水平应用型大学建设三年行动、“兴湖州”三年行动及本科教学合格评估攻坚任务，对标全省高校综合考核要求，聚焦内涵发展、特色发展、创新发展，全面提质增效学院各项工作。现将工作总结如下：</w:t>
      </w:r>
    </w:p>
    <w:p w14:paraId="1F57E7A3">
      <w:pPr>
        <w:pStyle w:val="3"/>
        <w:spacing w:beforeAutospacing="0" w:afterAutospacing="0" w:line="560" w:lineRule="exact"/>
        <w:ind w:firstLine="640" w:firstLineChars="200"/>
        <w:jc w:val="both"/>
        <w:rPr>
          <w:rFonts w:hint="default" w:ascii="黑体" w:hAnsi="黑体" w:eastAsia="黑体" w:cs="黑体"/>
          <w:b w:val="0"/>
          <w:bCs w:val="0"/>
          <w:sz w:val="32"/>
          <w:szCs w:val="32"/>
        </w:rPr>
      </w:pPr>
      <w:r>
        <w:rPr>
          <w:rFonts w:ascii="黑体" w:hAnsi="黑体" w:eastAsia="黑体" w:cs="黑体"/>
          <w:b w:val="0"/>
          <w:bCs w:val="0"/>
          <w:sz w:val="32"/>
          <w:szCs w:val="32"/>
        </w:rPr>
        <w:t>一、党建工作</w:t>
      </w:r>
    </w:p>
    <w:p w14:paraId="1765FD8F">
      <w:pPr>
        <w:pStyle w:val="4"/>
        <w:spacing w:beforeAutospacing="0" w:afterAutospacing="0" w:line="560" w:lineRule="exact"/>
        <w:ind w:firstLine="643" w:firstLineChars="200"/>
        <w:jc w:val="both"/>
        <w:rPr>
          <w:rFonts w:hint="default" w:ascii="仿宋_GB2312" w:hAnsi="仿宋_GB2312" w:eastAsia="仿宋_GB2312" w:cs="仿宋_GB2312"/>
          <w:b w:val="0"/>
          <w:bCs w:val="0"/>
          <w:sz w:val="32"/>
          <w:szCs w:val="32"/>
        </w:rPr>
      </w:pPr>
      <w:r>
        <w:rPr>
          <w:rFonts w:ascii="仿宋_GB2312" w:hAnsi="仿宋_GB2312" w:eastAsia="仿宋_GB2312" w:cs="仿宋_GB2312"/>
          <w:sz w:val="32"/>
          <w:szCs w:val="32"/>
        </w:rPr>
        <w:t>一是深化理论武</w:t>
      </w:r>
      <w:bookmarkStart w:id="2" w:name="_GoBack"/>
      <w:bookmarkEnd w:id="2"/>
      <w:r>
        <w:rPr>
          <w:rFonts w:ascii="仿宋_GB2312" w:hAnsi="仿宋_GB2312" w:eastAsia="仿宋_GB2312" w:cs="仿宋_GB2312"/>
          <w:sz w:val="32"/>
          <w:szCs w:val="32"/>
        </w:rPr>
        <w:t>装，压实政治责任。</w:t>
      </w:r>
      <w:r>
        <w:rPr>
          <w:rFonts w:ascii="仿宋_GB2312" w:hAnsi="仿宋_GB2312" w:eastAsia="仿宋_GB2312" w:cs="仿宋_GB2312"/>
          <w:b w:val="0"/>
          <w:bCs w:val="0"/>
          <w:sz w:val="32"/>
          <w:szCs w:val="32"/>
          <w:lang w:bidi="ar"/>
        </w:rPr>
        <w:t>学院党委</w:t>
      </w:r>
      <w:r>
        <w:rPr>
          <w:rFonts w:ascii="仿宋_GB2312" w:hAnsi="仿宋_GB2312" w:eastAsia="仿宋_GB2312" w:cs="仿宋_GB2312"/>
          <w:b w:val="0"/>
          <w:bCs w:val="0"/>
          <w:kern w:val="2"/>
          <w:sz w:val="32"/>
          <w:szCs w:val="32"/>
        </w:rPr>
        <w:t>深入贯彻落实中央八项规定精神学习教育及二十届四中全会精神学习，</w:t>
      </w:r>
      <w:r>
        <w:rPr>
          <w:rFonts w:ascii="仿宋_GB2312" w:hAnsi="仿宋_GB2312" w:eastAsia="仿宋_GB2312" w:cs="仿宋_GB2312"/>
          <w:b w:val="0"/>
          <w:bCs w:val="0"/>
          <w:sz w:val="32"/>
          <w:szCs w:val="32"/>
          <w:lang w:bidi="ar"/>
        </w:rPr>
        <w:t>及时跟进学习习近平新时代中国特色社会主义思想，推动理论学习与应用型大学建设实践深度融合。全年开展党委理论学习中心组学习12次，落实“第一议题”制度14次、党纪教育一刻钟9次，实现理论学习与学院中心工作同部署、同落实。健全“党政联动、民主决议”领导机制，召开党委会14次、党政联席会议17次、周例会31次，高效统筹新校园搬迁、本科教学评估等重点工作，做到“分工不分家、高效率决策”。</w:t>
      </w:r>
      <w:r>
        <w:rPr>
          <w:rFonts w:ascii="仿宋_GB2312" w:hAnsi="仿宋_GB2312" w:eastAsia="仿宋_GB2312" w:cs="仿宋_GB2312"/>
          <w:sz w:val="32"/>
          <w:szCs w:val="32"/>
        </w:rPr>
        <w:t>二是优化党员培育，擦亮支部品牌。</w:t>
      </w:r>
      <w:r>
        <w:rPr>
          <w:rFonts w:ascii="仿宋_GB2312" w:hAnsi="仿宋_GB2312" w:eastAsia="仿宋_GB2312" w:cs="仿宋_GB2312"/>
          <w:b w:val="0"/>
          <w:bCs w:val="0"/>
          <w:sz w:val="32"/>
          <w:szCs w:val="32"/>
          <w:lang w:bidi="ar"/>
        </w:rPr>
        <w:t>坚持选育结合，共发展党员4</w:t>
      </w:r>
      <w:r>
        <w:rPr>
          <w:rFonts w:hint="eastAsia" w:ascii="仿宋_GB2312" w:hAnsi="仿宋_GB2312" w:eastAsia="仿宋_GB2312" w:cs="仿宋_GB2312"/>
          <w:b w:val="0"/>
          <w:bCs w:val="0"/>
          <w:sz w:val="32"/>
          <w:szCs w:val="32"/>
          <w:lang w:val="en-US" w:eastAsia="zh-CN" w:bidi="ar"/>
        </w:rPr>
        <w:t>4</w:t>
      </w:r>
      <w:r>
        <w:rPr>
          <w:rFonts w:ascii="仿宋_GB2312" w:hAnsi="仿宋_GB2312" w:eastAsia="仿宋_GB2312" w:cs="仿宋_GB2312"/>
          <w:b w:val="0"/>
          <w:bCs w:val="0"/>
          <w:sz w:val="32"/>
          <w:szCs w:val="32"/>
          <w:lang w:bidi="ar"/>
        </w:rPr>
        <w:t>名，培育入党积极分子82名，完成第四期人文分党校89名积极分子的培训工作。充分酝酿支部拆分换届事宜，配齐配强各支委班子，推动党支部深度参与学院重大事项决策。文学系党支部顺利通过国家级样板支部中期验收，时任外语系党支部书记张文荣获市优秀党务工作者，学生第一党支部获批校级第一批“清廉党支部”建设项目。组织党员教职工赴安吉余村、太华山新四军和苏南抗日根据地纪念馆开展“循迹溯源学思想促践行”主题党日活动，新增与市水利局、菱湖镇竹墩村等党建联建4项，构建“党建+服务地方”联动格局。</w:t>
      </w:r>
      <w:r>
        <w:rPr>
          <w:rFonts w:ascii="仿宋_GB2312" w:hAnsi="仿宋_GB2312" w:eastAsia="仿宋_GB2312" w:cs="仿宋_GB2312"/>
          <w:sz w:val="32"/>
          <w:szCs w:val="32"/>
        </w:rPr>
        <w:t>三是严明作风建设，筑牢发展根基。</w:t>
      </w:r>
      <w:r>
        <w:rPr>
          <w:rFonts w:ascii="仿宋_GB2312" w:hAnsi="仿宋_GB2312" w:eastAsia="仿宋_GB2312" w:cs="仿宋_GB2312"/>
          <w:b w:val="0"/>
          <w:bCs w:val="0"/>
          <w:sz w:val="32"/>
          <w:szCs w:val="32"/>
          <w:lang w:bidi="ar"/>
        </w:rPr>
        <w:t>围绕学院“1134”党建布局，强化学院制度建设，共新增学院制度21项，切实抓好制度刚性执行规范，确保各项制度落地见效。系统推进学院文化交流中心、党建文化墙、廉洁文化墙等文化阵地建设，切实强化学院宣传文化的传播力、党建文化的引领力、廉洁文化的渗透力。召开党的建设工作会议，严格落实党委主要负责人与学院内设中层干部签订党风廉政建设责任书制度。召开师德师风警示教育大会，严格落实教职工政治理论40课时学习要求。专题召开宗教安全形势、意识形态领域专题党委会，严格阵地管理，严把教材选用、学术讲座等政治方向，全年未发生意识形态领域问题。</w:t>
      </w:r>
    </w:p>
    <w:p w14:paraId="2141D385">
      <w:pPr>
        <w:pStyle w:val="3"/>
        <w:spacing w:beforeAutospacing="0" w:afterAutospacing="0" w:line="560" w:lineRule="exact"/>
        <w:ind w:firstLine="640" w:firstLineChars="200"/>
        <w:jc w:val="both"/>
        <w:rPr>
          <w:rFonts w:hint="default" w:ascii="黑体" w:hAnsi="黑体" w:eastAsia="黑体" w:cs="黑体"/>
          <w:b w:val="0"/>
          <w:bCs w:val="0"/>
          <w:sz w:val="32"/>
          <w:szCs w:val="32"/>
        </w:rPr>
      </w:pPr>
      <w:r>
        <w:rPr>
          <w:rFonts w:ascii="黑体" w:hAnsi="黑体" w:eastAsia="黑体" w:cs="黑体"/>
          <w:b w:val="0"/>
          <w:bCs w:val="0"/>
          <w:sz w:val="32"/>
          <w:szCs w:val="32"/>
        </w:rPr>
        <w:t>二、教学工作</w:t>
      </w:r>
    </w:p>
    <w:p w14:paraId="22693E63">
      <w:pPr>
        <w:pStyle w:val="4"/>
        <w:spacing w:beforeAutospacing="0" w:afterAutospacing="0" w:line="560" w:lineRule="exact"/>
        <w:ind w:firstLine="643" w:firstLineChars="200"/>
        <w:jc w:val="both"/>
        <w:rPr>
          <w:rFonts w:hint="default" w:ascii="仿宋_GB2312" w:hAnsi="仿宋_GB2312" w:eastAsia="仿宋_GB2312" w:cs="仿宋_GB2312"/>
          <w:b w:val="0"/>
          <w:bCs w:val="0"/>
          <w:sz w:val="32"/>
          <w:szCs w:val="32"/>
        </w:rPr>
      </w:pPr>
      <w:r>
        <w:rPr>
          <w:rFonts w:ascii="仿宋_GB2312" w:hAnsi="仿宋_GB2312" w:eastAsia="仿宋_GB2312" w:cs="仿宋_GB2312"/>
          <w:sz w:val="32"/>
          <w:szCs w:val="32"/>
        </w:rPr>
        <w:t>一是抓实迎评促建，规范教学管理。</w:t>
      </w:r>
      <w:r>
        <w:rPr>
          <w:rFonts w:ascii="仿宋_GB2312" w:hAnsi="仿宋_GB2312" w:eastAsia="仿宋_GB2312" w:cs="仿宋_GB2312"/>
          <w:b w:val="0"/>
          <w:bCs w:val="0"/>
          <w:sz w:val="32"/>
          <w:szCs w:val="32"/>
          <w:lang w:bidi="ar"/>
        </w:rPr>
        <w:t>紧扣本科教学工作合格评估指标体系，坚持以制度建设为牵引，出台教学运行组织、质量监控机制、教师发展支持等院级教学管理制度，系统构建规范高效的教学管理体系，营造“全员参与、全程对标、全面提升”的迎评促建工作格局，教学规范度较上年显著提升。</w:t>
      </w:r>
      <w:r>
        <w:rPr>
          <w:rFonts w:ascii="仿宋_GB2312" w:hAnsi="仿宋_GB2312" w:eastAsia="仿宋_GB2312" w:cs="仿宋_GB2312"/>
          <w:sz w:val="32"/>
          <w:szCs w:val="32"/>
        </w:rPr>
        <w:t>二是深化教学建设，推进改革创新。</w:t>
      </w:r>
      <w:r>
        <w:rPr>
          <w:rFonts w:ascii="仿宋_GB2312" w:hAnsi="仿宋_GB2312" w:eastAsia="仿宋_GB2312" w:cs="仿宋_GB2312"/>
          <w:b w:val="0"/>
          <w:bCs w:val="0"/>
          <w:sz w:val="32"/>
          <w:szCs w:val="32"/>
          <w:lang w:bidi="ar"/>
        </w:rPr>
        <w:t>围绕立德树人根本任务，统筹推进课程、教材与课堂建设。4门校级一流课程顺利结题，新增校级一流课程2门，获批校级重点教材建设项目2项，立项校级教改项目2项，获校级教学成果奖二等奖1项。依托学院教师发展分中心实施“磨课坊”教学能力提升计划，3名教师在校级青年教师教学竞赛中荣获前三。组织数字赋能教学讲座2场，选派24名教师参加校外培训，教师AI数字素养与教学创新能力显著提升。</w:t>
      </w:r>
      <w:bookmarkStart w:id="0" w:name="OLE_LINK114"/>
      <w:bookmarkStart w:id="1" w:name="OLE_LINK115"/>
      <w:r>
        <w:rPr>
          <w:rFonts w:ascii="仿宋_GB2312" w:hAnsi="仿宋_GB2312" w:eastAsia="仿宋_GB2312" w:cs="仿宋_GB2312"/>
          <w:sz w:val="32"/>
          <w:szCs w:val="32"/>
        </w:rPr>
        <w:t>三是坚持质量强院，完善保障体系。</w:t>
      </w:r>
      <w:bookmarkEnd w:id="0"/>
      <w:bookmarkEnd w:id="1"/>
      <w:r>
        <w:rPr>
          <w:rFonts w:ascii="仿宋_GB2312" w:hAnsi="仿宋_GB2312" w:eastAsia="仿宋_GB2312" w:cs="仿宋_GB2312"/>
          <w:b w:val="0"/>
          <w:bCs w:val="0"/>
          <w:sz w:val="32"/>
          <w:szCs w:val="32"/>
          <w:lang w:bidi="ar"/>
        </w:rPr>
        <w:t>强化基层教学组织建设，1个教研室获评“校级优秀基层教学组织”。严格落实教学质量监控机制，学院督导组深入课堂听课40余节，完成3轮课程档案、试卷及毕业论文专项检查，推动问题清单化整改、责任化落实。全年教学运行平稳有序，未发生教学事故。</w:t>
      </w:r>
      <w:r>
        <w:rPr>
          <w:rFonts w:ascii="仿宋_GB2312" w:hAnsi="仿宋_GB2312" w:eastAsia="仿宋_GB2312" w:cs="仿宋_GB2312"/>
          <w:sz w:val="32"/>
          <w:szCs w:val="32"/>
        </w:rPr>
        <w:t>四是强化实践教学，深化协同育人。</w:t>
      </w:r>
      <w:r>
        <w:rPr>
          <w:rFonts w:ascii="仿宋_GB2312" w:hAnsi="仿宋_GB2312" w:eastAsia="仿宋_GB2312" w:cs="仿宋_GB2312"/>
          <w:b w:val="0"/>
          <w:bCs w:val="0"/>
          <w:sz w:val="32"/>
          <w:szCs w:val="32"/>
          <w:lang w:bidi="ar"/>
        </w:rPr>
        <w:t>新增校外实践基地2个，308名学生参与“白鹭齐飞夏耕树人”实践活动，25名学生荣获优秀荣誉称号。20名学生留湖集中毕业实习，实践育人与“兴湖州”行动深度衔接。</w:t>
      </w:r>
    </w:p>
    <w:p w14:paraId="596FCAB8">
      <w:pPr>
        <w:pStyle w:val="3"/>
        <w:spacing w:beforeAutospacing="0" w:afterAutospacing="0" w:line="560" w:lineRule="exact"/>
        <w:ind w:firstLine="640" w:firstLineChars="200"/>
        <w:jc w:val="both"/>
        <w:rPr>
          <w:rFonts w:hint="default" w:ascii="黑体" w:hAnsi="黑体" w:eastAsia="黑体" w:cs="黑体"/>
          <w:b w:val="0"/>
          <w:bCs w:val="0"/>
          <w:sz w:val="32"/>
          <w:szCs w:val="32"/>
        </w:rPr>
      </w:pPr>
      <w:r>
        <w:rPr>
          <w:rFonts w:ascii="黑体" w:hAnsi="黑体" w:eastAsia="黑体" w:cs="黑体"/>
          <w:b w:val="0"/>
          <w:bCs w:val="0"/>
          <w:sz w:val="32"/>
          <w:szCs w:val="32"/>
        </w:rPr>
        <w:t>三、科研与服务地方工作</w:t>
      </w:r>
    </w:p>
    <w:p w14:paraId="61E1C88D">
      <w:pPr>
        <w:pStyle w:val="4"/>
        <w:spacing w:beforeAutospacing="0" w:afterAutospacing="0" w:line="560" w:lineRule="exact"/>
        <w:ind w:firstLine="643" w:firstLineChars="200"/>
        <w:jc w:val="both"/>
        <w:rPr>
          <w:rFonts w:hint="default" w:ascii="仿宋_GB2312" w:hAnsi="仿宋_GB2312" w:eastAsia="仿宋_GB2312" w:cs="仿宋_GB2312"/>
          <w:b w:val="0"/>
          <w:bCs w:val="0"/>
          <w:sz w:val="32"/>
          <w:szCs w:val="32"/>
        </w:rPr>
      </w:pPr>
      <w:r>
        <w:rPr>
          <w:rFonts w:ascii="仿宋_GB2312" w:hAnsi="仿宋_GB2312" w:eastAsia="仿宋_GB2312" w:cs="仿宋_GB2312"/>
          <w:sz w:val="32"/>
          <w:szCs w:val="32"/>
        </w:rPr>
        <w:t>一是健全科研机制，提升成果质量。</w:t>
      </w:r>
      <w:r>
        <w:rPr>
          <w:rFonts w:ascii="仿宋_GB2312" w:hAnsi="仿宋_GB2312" w:eastAsia="仿宋_GB2312" w:cs="仿宋_GB2312"/>
          <w:b w:val="0"/>
          <w:bCs w:val="0"/>
          <w:sz w:val="32"/>
          <w:szCs w:val="32"/>
          <w:lang w:bidi="ar"/>
        </w:rPr>
        <w:t>召开青年博士座谈会，为全体教师购置AI科研申报辅助材料。完成各类科研项目申报42项，其中国家社科项目15项，获批省部级课题3项、市厅级课题14项，课题申报获批率明显提升。获得湖州市第21届哲社优秀成果一等奖3项、三等奖4项，成果数量质量均实现新突破。</w:t>
      </w:r>
      <w:r>
        <w:rPr>
          <w:rFonts w:ascii="仿宋_GB2312" w:hAnsi="仿宋_GB2312" w:eastAsia="仿宋_GB2312" w:cs="仿宋_GB2312"/>
          <w:sz w:val="32"/>
          <w:szCs w:val="32"/>
        </w:rPr>
        <w:t>二是搭建学术平台，深化服地效能。</w:t>
      </w:r>
      <w:r>
        <w:rPr>
          <w:rFonts w:ascii="仿宋_GB2312" w:hAnsi="仿宋_GB2312" w:eastAsia="仿宋_GB2312" w:cs="仿宋_GB2312"/>
          <w:b w:val="0"/>
          <w:bCs w:val="0"/>
          <w:sz w:val="32"/>
          <w:szCs w:val="32"/>
          <w:lang w:bidi="ar"/>
        </w:rPr>
        <w:t>承办全国性学术会议“湖学与宋韵文化学术研讨会暨第四届湖学与江南儒学论坛”，活动被人民日报等主流媒体报道，显著扩大学校学术影响力。成功举办“湖学大讲坛”等系列讲座12场，邀请国内知名专家学者来院讲学交流。牵头成立“湖州学院人文学院苏轼文化研究院”，继续深化与市文建会合作，撰写《关于做好苏轼文化遗存保护利用工作、打响“苏轼在湖州”文化品牌的咨询报告》，推动宋韵文化转化利用。为吴兴区埭溪镇撰写史志，出版专著《大美埭溪》助力地方文化传承与品牌建设。与湖州市关工委、中国微型小说学会联合成立“当代微型小说创作与研究中心”，并合作举办“全国青少年‘两山文学’读书教育活动优秀作品分享会”，社会反响良好。与湖州市文联合作，成功举办第二届“湖州市高校青年文艺评论大赛”。依托我校省语委基地，暑期组建湖州学院推普助力乡村振兴项目团队，入围教育部全国重点团队，获国家级媒体《中国教育报》《中华网》等专题报道。另外，1人到湖州市社科联挂职，1人派驻乡村文化特派员。</w:t>
      </w:r>
      <w:r>
        <w:rPr>
          <w:rFonts w:ascii="仿宋_GB2312" w:hAnsi="仿宋_GB2312" w:eastAsia="仿宋_GB2312" w:cs="仿宋_GB2312"/>
          <w:sz w:val="32"/>
          <w:szCs w:val="32"/>
        </w:rPr>
        <w:t>三是优化培训管理，拓展社会服务。</w:t>
      </w:r>
      <w:r>
        <w:rPr>
          <w:rFonts w:ascii="仿宋_GB2312" w:hAnsi="仿宋_GB2312" w:eastAsia="仿宋_GB2312" w:cs="仿宋_GB2312"/>
          <w:b w:val="0"/>
          <w:bCs w:val="0"/>
          <w:sz w:val="32"/>
          <w:szCs w:val="32"/>
          <w:lang w:bidi="ar"/>
        </w:rPr>
        <w:t>完成2025届成人学历教育毕业论文开题、答辩、学位审核等工作，开展新一届成人学历教育招生专业调整与培养方案修订工作。进一步完善非学历教育培训管理制度，开展“中小学教师数码单反摄影技艺短期培训”等项目，社会服务效益持续增强。</w:t>
      </w:r>
    </w:p>
    <w:p w14:paraId="75D6850F">
      <w:pPr>
        <w:pStyle w:val="3"/>
        <w:spacing w:beforeAutospacing="0" w:afterAutospacing="0" w:line="560" w:lineRule="exact"/>
        <w:ind w:firstLine="640" w:firstLineChars="200"/>
        <w:jc w:val="both"/>
        <w:rPr>
          <w:rFonts w:hint="default" w:ascii="黑体" w:hAnsi="黑体" w:eastAsia="黑体" w:cs="黑体"/>
          <w:b w:val="0"/>
          <w:bCs w:val="0"/>
          <w:sz w:val="32"/>
          <w:szCs w:val="32"/>
        </w:rPr>
      </w:pPr>
      <w:r>
        <w:rPr>
          <w:rFonts w:ascii="黑体" w:hAnsi="黑体" w:eastAsia="黑体" w:cs="黑体"/>
          <w:b w:val="0"/>
          <w:bCs w:val="0"/>
          <w:sz w:val="32"/>
          <w:szCs w:val="32"/>
        </w:rPr>
        <w:t>四、学生工作</w:t>
      </w:r>
    </w:p>
    <w:p w14:paraId="15A62D47">
      <w:pPr>
        <w:pStyle w:val="4"/>
        <w:spacing w:beforeAutospacing="0" w:afterAutospacing="0" w:line="560" w:lineRule="exact"/>
        <w:ind w:firstLine="643" w:firstLineChars="200"/>
        <w:jc w:val="both"/>
        <w:rPr>
          <w:rFonts w:hint="default" w:ascii="仿宋_GB2312" w:hAnsi="仿宋_GB2312" w:eastAsia="仿宋_GB2312" w:cs="仿宋_GB2312"/>
          <w:b w:val="0"/>
          <w:bCs w:val="0"/>
          <w:sz w:val="32"/>
          <w:szCs w:val="32"/>
        </w:rPr>
      </w:pPr>
      <w:r>
        <w:rPr>
          <w:rFonts w:ascii="仿宋_GB2312" w:hAnsi="仿宋_GB2312" w:eastAsia="仿宋_GB2312" w:cs="仿宋_GB2312"/>
          <w:sz w:val="32"/>
          <w:szCs w:val="32"/>
        </w:rPr>
        <w:t>一是筑牢育人根基，核心指标稳步提升。</w:t>
      </w:r>
      <w:r>
        <w:rPr>
          <w:rFonts w:ascii="仿宋_GB2312" w:hAnsi="仿宋_GB2312" w:eastAsia="仿宋_GB2312" w:cs="仿宋_GB2312"/>
          <w:b w:val="0"/>
          <w:bCs w:val="0"/>
          <w:sz w:val="32"/>
          <w:szCs w:val="32"/>
          <w:lang w:bidi="ar"/>
        </w:rPr>
        <w:t>持续擦亮“星耀人文”学生工作金名片，以四大学生党支部“白鹭”系列子品牌为支撑，形成“一总四分、协同发力”的品牌育人格局。全年依托品牌开展各类特色活动20余场，覆盖学生千余人次。深入实施“乐学工程”“固学工程”，组建学业帮扶小组，本科课程及格率、优良学风班建设率实现“双提升”。健全学生行为规范考核体系，开展宿舍安全、文明行为专项检查8次，文明宿舍达标率持续上升，学生违规违纪率持续下降，未发生重大安全责任事故。构建“预防-干预-帮扶”三级心理健康工作体系，完成新生心理测评400余人，开展团体心理辅导5场、个体咨询100余人次，心理危机干预成功率达100%。完善奖助勤贷补体系，全年发放各类奖助学金百万元，覆盖学生600余人次，精准资助率达100%，学生满意度逐年提升。</w:t>
      </w:r>
      <w:r>
        <w:rPr>
          <w:rFonts w:ascii="仿宋_GB2312" w:hAnsi="仿宋_GB2312" w:eastAsia="仿宋_GB2312" w:cs="仿宋_GB2312"/>
          <w:sz w:val="32"/>
          <w:szCs w:val="32"/>
        </w:rPr>
        <w:t>二是聚焦成长需求，关键领域突破。</w:t>
      </w:r>
      <w:r>
        <w:rPr>
          <w:rFonts w:ascii="仿宋_GB2312" w:hAnsi="仿宋_GB2312" w:eastAsia="仿宋_GB2312" w:cs="仿宋_GB2312"/>
          <w:b w:val="0"/>
          <w:bCs w:val="0"/>
          <w:sz w:val="32"/>
          <w:szCs w:val="32"/>
          <w:lang w:bidi="ar"/>
        </w:rPr>
        <w:t>推出“职场启航”系列活动，全年举办行业讲座、企业宣讲、模拟面试、简历诊断等活动12场，参与学生500余人次；深化校企合作，与湖州志和中学、知名广告公司等10余家企事业单位共建“大学生就业基地”，提供实习就业岗位百余个。2025届毕业生就业率预计达95%，其中考编、考公、国企就业等高质量就业率较上年有所提升。实施“研梦启航”计划，举办考研经验分享会、备考专题辅导、复试模拟演练等活动5场，覆盖考研学生300余人次；组建考研帮扶导师团开展一对一辅导200人次，2025届毕业生考研升学率突破12%，创学院历史新高，多名学生被同济大学、华东师范大学等知名高校录取。</w:t>
      </w:r>
      <w:r>
        <w:rPr>
          <w:rFonts w:ascii="仿宋_GB2312" w:hAnsi="仿宋_GB2312" w:eastAsia="仿宋_GB2312" w:cs="仿宋_GB2312"/>
          <w:sz w:val="32"/>
          <w:szCs w:val="32"/>
          <w:lang w:bidi="ar"/>
        </w:rPr>
        <w:t>三是强化体育育人，全面发展见效。</w:t>
      </w:r>
      <w:r>
        <w:rPr>
          <w:rFonts w:ascii="仿宋_GB2312" w:hAnsi="仿宋_GB2312" w:eastAsia="仿宋_GB2312" w:cs="仿宋_GB2312"/>
          <w:b w:val="0"/>
          <w:bCs w:val="0"/>
          <w:sz w:val="32"/>
          <w:szCs w:val="32"/>
          <w:lang w:bidi="ar"/>
        </w:rPr>
        <w:t>推出“健安护航”系列体育活动，全年组织学生参加田径运动会、排球赛等赛事10余场，参与学生300余人次，学生体质健康达标率保持稳定。在各类体育赛事中斩获佳绩，荣获湖州学院“军训先进集体”“第五届田径运动会优秀组织奖”及“学生甲组团体总分第一名”；11月荣获第三届体育文化节暨“湖院杯”排球比赛冠军，充分展现人文学子良好精神风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954"/>
    <w:rsid w:val="00043954"/>
    <w:rsid w:val="000D185B"/>
    <w:rsid w:val="00133387"/>
    <w:rsid w:val="002A74CC"/>
    <w:rsid w:val="005046C5"/>
    <w:rsid w:val="00915CC5"/>
    <w:rsid w:val="009A614E"/>
    <w:rsid w:val="048109CA"/>
    <w:rsid w:val="0F9022FF"/>
    <w:rsid w:val="10A047C3"/>
    <w:rsid w:val="14DB04C0"/>
    <w:rsid w:val="17237EFC"/>
    <w:rsid w:val="1D3F35B6"/>
    <w:rsid w:val="1D731C88"/>
    <w:rsid w:val="23290648"/>
    <w:rsid w:val="24C54E65"/>
    <w:rsid w:val="25973F8F"/>
    <w:rsid w:val="264D0AF2"/>
    <w:rsid w:val="28AB429D"/>
    <w:rsid w:val="2B771244"/>
    <w:rsid w:val="303513E4"/>
    <w:rsid w:val="30A6152A"/>
    <w:rsid w:val="30E76888"/>
    <w:rsid w:val="37F63AA2"/>
    <w:rsid w:val="385546F9"/>
    <w:rsid w:val="3905700A"/>
    <w:rsid w:val="39691347"/>
    <w:rsid w:val="39C0319F"/>
    <w:rsid w:val="3C586A32"/>
    <w:rsid w:val="3DD2084D"/>
    <w:rsid w:val="3F071EED"/>
    <w:rsid w:val="402E6CA8"/>
    <w:rsid w:val="40D30014"/>
    <w:rsid w:val="410858E9"/>
    <w:rsid w:val="44582E4F"/>
    <w:rsid w:val="469D4D26"/>
    <w:rsid w:val="4A2512BA"/>
    <w:rsid w:val="4A946440"/>
    <w:rsid w:val="4B223A4B"/>
    <w:rsid w:val="4CE92A73"/>
    <w:rsid w:val="5119769F"/>
    <w:rsid w:val="51654692"/>
    <w:rsid w:val="532742F5"/>
    <w:rsid w:val="54A77E2F"/>
    <w:rsid w:val="55230AEC"/>
    <w:rsid w:val="5822508B"/>
    <w:rsid w:val="59696F61"/>
    <w:rsid w:val="59C04B5B"/>
    <w:rsid w:val="5D7F6ADB"/>
    <w:rsid w:val="5F772160"/>
    <w:rsid w:val="60765F74"/>
    <w:rsid w:val="62740BD9"/>
    <w:rsid w:val="65BA6903"/>
    <w:rsid w:val="6CBF6EF4"/>
    <w:rsid w:val="6D574D3A"/>
    <w:rsid w:val="6F7246F2"/>
    <w:rsid w:val="742D6E39"/>
    <w:rsid w:val="756C6FBD"/>
    <w:rsid w:val="75C31803"/>
    <w:rsid w:val="766E39A1"/>
    <w:rsid w:val="79975481"/>
    <w:rsid w:val="7AB931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3">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paragraph" w:styleId="4">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5">
    <w:name w:val="footer"/>
    <w:basedOn w:val="1"/>
    <w:link w:val="10"/>
    <w:qFormat/>
    <w:uiPriority w:val="0"/>
    <w:pPr>
      <w:tabs>
        <w:tab w:val="center" w:pos="4153"/>
        <w:tab w:val="right" w:pos="8306"/>
      </w:tabs>
      <w:snapToGrid w:val="0"/>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uiPriority w:val="0"/>
    <w:rPr>
      <w:rFonts w:asciiTheme="minorHAnsi" w:hAnsiTheme="minorHAnsi" w:eastAsiaTheme="minorEastAsia" w:cstheme="minorBidi"/>
      <w:kern w:val="2"/>
      <w:sz w:val="18"/>
      <w:szCs w:val="18"/>
    </w:rPr>
  </w:style>
  <w:style w:type="character" w:customStyle="1" w:styleId="10">
    <w:name w:val="页脚 Char"/>
    <w:basedOn w:val="8"/>
    <w:link w:val="5"/>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2982</Words>
  <Characters>3049</Characters>
  <Lines>21</Lines>
  <Paragraphs>6</Paragraphs>
  <TotalTime>16</TotalTime>
  <ScaleCrop>false</ScaleCrop>
  <LinksUpToDate>false</LinksUpToDate>
  <CharactersWithSpaces>3049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2025-12-10T03:55:00Z</dcterms:created>
  <dc:creator>SHAN</dc:creator>
  <cp:lastModifiedBy>流年</cp:lastModifiedBy>
  <dcterms:modified xsi:type="dcterms:W3CDTF">2025-12-12T00:50:58Z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eyJoZGlkIjoiMDYwY2Y2YjA5MTBiYzgzNDAxMzhjNTdmNzlkMDlkZDciLCJ1c2VySWQiOiI0MDQwMDM5OTUifQ==</vt:lpwstr>
  </property>
  <property fmtid="{D5CDD505-2E9C-101B-9397-08002B2CF9AE}" pid="4" name="ICV">
    <vt:lpwstr>7DE6FE226273467786301FC84E71AAD3_12</vt:lpwstr>
  </property>
</Properties>
</file>